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17" w:rsidRDefault="004C4917" w:rsidP="004C49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C4917" w:rsidRDefault="004C4917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Лапыгинский детский сад «Пчёлка» </w:t>
      </w:r>
    </w:p>
    <w:p w:rsidR="004C4917" w:rsidRDefault="004C4917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Старооскольского городского округа</w:t>
      </w: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3D" w:rsidRDefault="00443E3D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Default="008B0754" w:rsidP="004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54" w:rsidRPr="008B0754" w:rsidRDefault="008B0754" w:rsidP="008B0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</w:pPr>
      <w:r w:rsidRPr="008B0754"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  <w:t xml:space="preserve">Паспорт </w:t>
      </w:r>
    </w:p>
    <w:p w:rsidR="0020288B" w:rsidRDefault="006A6A2A" w:rsidP="008B0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  <w:t>центра</w:t>
      </w:r>
      <w:r w:rsidR="0020288B"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  <w:t xml:space="preserve"> ранней профориентации</w:t>
      </w:r>
    </w:p>
    <w:p w:rsidR="008B0754" w:rsidRPr="008B0754" w:rsidRDefault="008B0754" w:rsidP="008B0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</w:pPr>
      <w:r w:rsidRPr="008B0754"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  <w:t xml:space="preserve"> «Мир Профессии»</w:t>
      </w:r>
    </w:p>
    <w:p w:rsidR="008B0754" w:rsidRPr="008B0754" w:rsidRDefault="008B0754" w:rsidP="008B0754">
      <w:pPr>
        <w:spacing w:line="360" w:lineRule="auto"/>
        <w:rPr>
          <w:sz w:val="36"/>
          <w:szCs w:val="36"/>
        </w:rPr>
      </w:pPr>
    </w:p>
    <w:p w:rsidR="008B0754" w:rsidRDefault="006A6A2A">
      <w:r w:rsidRPr="00FE6FA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269476</wp:posOffset>
            </wp:positionV>
            <wp:extent cx="5940425" cy="3340445"/>
            <wp:effectExtent l="0" t="0" r="3175" b="0"/>
            <wp:wrapNone/>
            <wp:docPr id="3" name="Рисунок 3" descr="C:\Users\USER\Desktop\gas-kvas-com-p-fon-professii-dlya-detei-na-prozrachnom-f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s-kvas-com-p-fon-professii-dlya-detei-na-prozrachnom-fo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5A4" w:rsidRDefault="00E745A4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Default="005B2588"/>
    <w:p w:rsidR="005B2588" w:rsidRPr="0020288B" w:rsidRDefault="0020288B" w:rsidP="0020288B">
      <w:pPr>
        <w:jc w:val="center"/>
        <w:rPr>
          <w:rFonts w:ascii="Times New Roman" w:hAnsi="Times New Roman" w:cs="Times New Roman"/>
          <w:sz w:val="28"/>
        </w:rPr>
      </w:pPr>
      <w:r w:rsidRPr="0020288B">
        <w:rPr>
          <w:rFonts w:ascii="Times New Roman" w:hAnsi="Times New Roman" w:cs="Times New Roman"/>
          <w:sz w:val="28"/>
        </w:rPr>
        <w:t>Старый Оскол 2024 г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lastRenderedPageBreak/>
        <w:t>Цель</w:t>
      </w:r>
      <w:r w:rsidR="009A1933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:</w:t>
      </w:r>
      <w:r w:rsidR="009A1933" w:rsidRPr="009A1933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функционирования це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нтра ранней профориентации «Мир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профессий»: обеспечение непрерывно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й целенаправленной деятельности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учреждения по ранней профориентации детей дошкольного возраста.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Задачи: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 Способствовать расширению возможн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остей социализации дошкольников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через систему разновозрастных игр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овых сообществ в детском саду в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современных условиях социального партнёрства.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 Обеспечить повышение эффек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тивности использования ресурсов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образовательной организации по ранней профориентации.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3. Совершенствовать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профессиональной компетентности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педагогических работников путём со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вместного обучения, обсуждения,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обмена опытом.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4. Способствовать взаимодействию с о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бразовательными учреждениями по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методическому сопровождению деятел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ьности по ранней профориентации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дошкольников.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Центр «Мир профессий» в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МБДОУ «Лапыгинский ДС «Пчёлка» включает в 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себя следующие зоны с учётом возрастных особенностей детей: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зона сюжетно-ролевых игр;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зона виртуальных экскурсий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;</w:t>
      </w:r>
    </w:p>
    <w:p w:rsidR="0020288B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зона художественной литературы;</w:t>
      </w:r>
    </w:p>
    <w:p w:rsidR="00143728" w:rsidRPr="0020288B" w:rsidRDefault="0020288B" w:rsidP="0020288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зона творческих выставок и встреч с сотрудниками предприятий.</w:t>
      </w:r>
      <w:r w:rsidRPr="0020288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cr/>
      </w:r>
    </w:p>
    <w:p w:rsidR="009B4D77" w:rsidRPr="00816FAC" w:rsidRDefault="00816FAC" w:rsidP="00816FAC">
      <w:pPr>
        <w:shd w:val="clear" w:color="auto" w:fill="FFFFFF"/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816FAC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Содержание зоны сюжетно-ролевых игр, их оснащение</w:t>
      </w:r>
    </w:p>
    <w:tbl>
      <w:tblPr>
        <w:tblStyle w:val="a4"/>
        <w:tblW w:w="0" w:type="auto"/>
        <w:tblInd w:w="-572" w:type="dxa"/>
        <w:tblLook w:val="04A0"/>
      </w:tblPr>
      <w:tblGrid>
        <w:gridCol w:w="1077"/>
        <w:gridCol w:w="3078"/>
        <w:gridCol w:w="6046"/>
      </w:tblGrid>
      <w:tr w:rsidR="00540DEE" w:rsidTr="00540DEE">
        <w:tc>
          <w:tcPr>
            <w:tcW w:w="1077" w:type="dxa"/>
          </w:tcPr>
          <w:p w:rsidR="0020288B" w:rsidRPr="0020288B" w:rsidRDefault="0020288B" w:rsidP="0020288B">
            <w:pPr>
              <w:spacing w:line="240" w:lineRule="auto"/>
              <w:ind w:left="177"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20288B" w:rsidRPr="0020288B" w:rsidRDefault="0020288B" w:rsidP="0020288B">
            <w:pPr>
              <w:spacing w:line="240" w:lineRule="auto"/>
              <w:ind w:left="177"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78" w:type="dxa"/>
          </w:tcPr>
          <w:p w:rsidR="0020288B" w:rsidRPr="0020288B" w:rsidRDefault="0020288B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046" w:type="dxa"/>
          </w:tcPr>
          <w:p w:rsidR="0020288B" w:rsidRPr="0020288B" w:rsidRDefault="0020288B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Атрибуты</w:t>
            </w: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8" w:type="dxa"/>
          </w:tcPr>
          <w:p w:rsidR="0020288B" w:rsidRPr="0020288B" w:rsidRDefault="0036040D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«Медицинский центр»</w:t>
            </w:r>
          </w:p>
        </w:tc>
        <w:tc>
          <w:tcPr>
            <w:tcW w:w="6046" w:type="dxa"/>
          </w:tcPr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сюжетно-ролевой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«Медицинский центр», халаты,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шапочки врачей; карточки больных;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рецепты; направления; ростомер,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ширма, лекарства (муляжи и заместители);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телефон; компьютер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Игрушечный чемоданчик доктора: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лоток, ножницы, баночка для таблеток, капсулы, 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иц, фонендоскоп, очки окулиста, 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оток невропатолога, аппарат для 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 объема легких и др.);</w:t>
            </w:r>
          </w:p>
          <w:p w:rsidR="0020288B" w:rsidRPr="0020288B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«Машина скорой помощи»; азбука для окулиста.</w:t>
            </w: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</w:tcPr>
          <w:p w:rsidR="0020288B" w:rsidRPr="0020288B" w:rsidRDefault="0036040D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«Салон сотовой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связи»</w:t>
            </w:r>
          </w:p>
        </w:tc>
        <w:tc>
          <w:tcPr>
            <w:tcW w:w="6046" w:type="dxa"/>
          </w:tcPr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зона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сюжетно-ролевой</w:t>
            </w:r>
          </w:p>
          <w:p w:rsidR="0020288B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отовые телефоны (б\у и самодельные),коробки от телефонов, н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оутбук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игрушечные, б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уклеты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сим-карты, п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ланшет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(муляж), ч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ехлы для телефонов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екламные карточки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еки, бланки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анковские карточки, деньги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(муляж), и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грушечные инструменты для ремонта телефона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аушники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б\у</w:t>
            </w:r>
            <w:proofErr w:type="spellEnd"/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</w:t>
            </w:r>
            <w:r w:rsidR="00816FAC" w:rsidRP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мные часы</w:t>
            </w:r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бейджики</w:t>
            </w:r>
            <w:proofErr w:type="spellEnd"/>
            <w:r w:rsidR="0081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сотрудников, рекламные журналы, каталог моделей телефонов, кассовый аппарат, вывеска-название.</w:t>
            </w:r>
          </w:p>
          <w:p w:rsidR="00540DEE" w:rsidRPr="0020288B" w:rsidRDefault="00540DEE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78" w:type="dxa"/>
          </w:tcPr>
          <w:p w:rsidR="0020288B" w:rsidRPr="0020288B" w:rsidRDefault="00B3011F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«Банк»</w:t>
            </w:r>
          </w:p>
        </w:tc>
        <w:tc>
          <w:tcPr>
            <w:tcW w:w="6046" w:type="dxa"/>
          </w:tcPr>
          <w:p w:rsidR="0020288B" w:rsidRDefault="00B3011F" w:rsidP="00B3011F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бланки, касса, </w:t>
            </w:r>
            <w:r w:rsid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калькулятор, </w:t>
            </w:r>
            <w:r w:rsidRP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символикабанк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 элементы одежды, банковские реквизиты, атрибут «Банкомат», телефон</w:t>
            </w:r>
            <w:r w:rsidRP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купюры денег</w:t>
            </w:r>
          </w:p>
          <w:p w:rsidR="00540DEE" w:rsidRPr="0020288B" w:rsidRDefault="00540DEE" w:rsidP="00B3011F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</w:tcPr>
          <w:p w:rsidR="0020288B" w:rsidRPr="0020288B" w:rsidRDefault="0036040D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«Метеостанция»</w:t>
            </w:r>
          </w:p>
        </w:tc>
        <w:tc>
          <w:tcPr>
            <w:tcW w:w="6046" w:type="dxa"/>
          </w:tcPr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proofErr w:type="spellStart"/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метеооборудования</w:t>
            </w:r>
            <w:proofErr w:type="spellEnd"/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36040D" w:rsidRPr="0036040D" w:rsidRDefault="00325179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</w:t>
            </w:r>
            <w:r w:rsid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6040D"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флюгер,</w:t>
            </w:r>
            <w:r w:rsid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информационный стенд, </w:t>
            </w:r>
          </w:p>
          <w:p w:rsidR="0036040D" w:rsidRPr="0036040D" w:rsidRDefault="00325179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ветровой рукав</w:t>
            </w:r>
            <w:r w:rsidR="0036040D"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часы</w:t>
            </w:r>
            <w:r w:rsid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линейка</w:t>
            </w:r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магнитно-меловая доска</w:t>
            </w:r>
            <w:r w:rsid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 со скамейкой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приборыпомощ</w:t>
            </w:r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ники, приборы, изготовленные из 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риродных и бросовых материалов: </w:t>
            </w:r>
            <w:proofErr w:type="spellStart"/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</w:t>
            </w:r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дкомер</w:t>
            </w:r>
            <w:proofErr w:type="spellEnd"/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30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ловец облаков, </w:t>
            </w:r>
            <w:r w:rsidR="0032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вертушки; оснащение детской </w:t>
            </w: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лаборатории: микроскоп переносной,</w:t>
            </w:r>
          </w:p>
          <w:p w:rsidR="0036040D" w:rsidRPr="0036040D" w:rsidRDefault="0036040D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лупы, песочные часы, разнообразные</w:t>
            </w:r>
          </w:p>
          <w:p w:rsidR="0020288B" w:rsidRDefault="00B3011F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магниты, бинокль.</w:t>
            </w:r>
          </w:p>
          <w:p w:rsidR="00B3011F" w:rsidRDefault="00B3011F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Табличка «Метеостанция», деревянный заборчик</w:t>
            </w:r>
          </w:p>
          <w:p w:rsidR="00540DEE" w:rsidRPr="0020288B" w:rsidRDefault="00540DEE" w:rsidP="0036040D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</w:tcPr>
          <w:p w:rsidR="0020288B" w:rsidRPr="0020288B" w:rsidRDefault="008E1AEA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«Салон красоты»</w:t>
            </w:r>
          </w:p>
        </w:tc>
        <w:tc>
          <w:tcPr>
            <w:tcW w:w="6046" w:type="dxa"/>
          </w:tcPr>
          <w:p w:rsidR="008E1AEA" w:rsidRPr="007E00A5" w:rsidRDefault="007E00A5" w:rsidP="007E00A5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Стол парикмахера, накидки, набор для парикмахера, набор для маникюра, оборудование для парикмахера, п</w:t>
            </w:r>
            <w:r w:rsidR="008E1AEA" w:rsidRPr="007E00A5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олка с оборудова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нием для разных мастеров салона, ж</w:t>
            </w:r>
            <w:r w:rsidR="008E1AEA" w:rsidRPr="007E00A5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урналы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, картинки с прическами, к</w:t>
            </w:r>
            <w:r w:rsidR="008E1AEA" w:rsidRPr="007E00A5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укла для причесок. </w:t>
            </w:r>
          </w:p>
          <w:p w:rsidR="0020288B" w:rsidRPr="007E00A5" w:rsidRDefault="0020288B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0DEE" w:rsidTr="00540DEE">
        <w:tc>
          <w:tcPr>
            <w:tcW w:w="1077" w:type="dxa"/>
          </w:tcPr>
          <w:p w:rsidR="0020288B" w:rsidRPr="0020288B" w:rsidRDefault="00816FAC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8" w:type="dxa"/>
          </w:tcPr>
          <w:p w:rsidR="0020288B" w:rsidRPr="0020288B" w:rsidRDefault="008E1AEA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«Ферма»</w:t>
            </w:r>
          </w:p>
        </w:tc>
        <w:tc>
          <w:tcPr>
            <w:tcW w:w="6046" w:type="dxa"/>
          </w:tcPr>
          <w:p w:rsidR="0020288B" w:rsidRPr="0020288B" w:rsidRDefault="008E1AEA" w:rsidP="008E1AEA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ельскохозяйственная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идактические игры: «Деревянн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ферма», «Кто работает на ферме», </w:t>
            </w: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«Сельскохозяй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ственная техника», «Ферма и её </w:t>
            </w:r>
            <w:r w:rsidRPr="008E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обитатели».</w:t>
            </w:r>
          </w:p>
        </w:tc>
      </w:tr>
      <w:tr w:rsidR="007E00A5" w:rsidTr="00540DEE">
        <w:tc>
          <w:tcPr>
            <w:tcW w:w="1077" w:type="dxa"/>
          </w:tcPr>
          <w:p w:rsidR="007E00A5" w:rsidRDefault="007E00A5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8" w:type="dxa"/>
          </w:tcPr>
          <w:p w:rsidR="007E00A5" w:rsidRPr="008E1AEA" w:rsidRDefault="00540DEE" w:rsidP="009B4D77">
            <w:pPr>
              <w:spacing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«Строители»</w:t>
            </w:r>
          </w:p>
        </w:tc>
        <w:tc>
          <w:tcPr>
            <w:tcW w:w="6046" w:type="dxa"/>
          </w:tcPr>
          <w:p w:rsidR="00540DEE" w:rsidRPr="00540DEE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конструктор с блоками большого размера.</w:t>
            </w:r>
          </w:p>
          <w:p w:rsidR="00540DEE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Строительный 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 с блоками среднего размера.</w:t>
            </w:r>
          </w:p>
          <w:p w:rsidR="00540DEE" w:rsidRPr="00540DEE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виды конструктора</w:t>
            </w:r>
          </w:p>
          <w:p w:rsidR="00540DEE" w:rsidRPr="00540DEE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Небольшие игрушки для обыгрывания построек (фигур-людей и животных и т. п.).</w:t>
            </w:r>
          </w:p>
          <w:p w:rsidR="00540DEE" w:rsidRPr="00540DEE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среднего и большого размера. машины: легковые, грузовые</w:t>
            </w:r>
          </w:p>
          <w:p w:rsidR="007E00A5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подъемный кран. </w:t>
            </w:r>
          </w:p>
          <w:p w:rsidR="00540DEE" w:rsidRPr="008E1AEA" w:rsidRDefault="00540DEE" w:rsidP="00540DEE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46A4" w:rsidRPr="009B4D77" w:rsidRDefault="00CD46A4" w:rsidP="007E0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CD46A4" w:rsidRPr="009B4D77" w:rsidSect="0020288B">
      <w:pgSz w:w="11906" w:h="16838"/>
      <w:pgMar w:top="1134" w:right="849" w:bottom="1134" w:left="1418" w:header="708" w:footer="708" w:gutter="0"/>
      <w:pgBorders w:offsetFrom="page">
        <w:top w:val="handmade2" w:sz="31" w:space="24" w:color="538135" w:themeColor="accent6" w:themeShade="BF"/>
        <w:left w:val="handmade2" w:sz="31" w:space="24" w:color="538135" w:themeColor="accent6" w:themeShade="BF"/>
        <w:bottom w:val="handmade2" w:sz="31" w:space="24" w:color="538135" w:themeColor="accent6" w:themeShade="BF"/>
        <w:right w:val="handmade2" w:sz="31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9E3"/>
    <w:rsid w:val="00143728"/>
    <w:rsid w:val="0020288B"/>
    <w:rsid w:val="00325179"/>
    <w:rsid w:val="0036040D"/>
    <w:rsid w:val="0036595F"/>
    <w:rsid w:val="004066C2"/>
    <w:rsid w:val="00415964"/>
    <w:rsid w:val="00443E3D"/>
    <w:rsid w:val="004C4917"/>
    <w:rsid w:val="00540DEE"/>
    <w:rsid w:val="00562BBD"/>
    <w:rsid w:val="005709E3"/>
    <w:rsid w:val="005B2588"/>
    <w:rsid w:val="006A3D9B"/>
    <w:rsid w:val="006A6A2A"/>
    <w:rsid w:val="00770D35"/>
    <w:rsid w:val="007E00A5"/>
    <w:rsid w:val="00816FAC"/>
    <w:rsid w:val="008764E7"/>
    <w:rsid w:val="008B0754"/>
    <w:rsid w:val="008E1AEA"/>
    <w:rsid w:val="00950AFF"/>
    <w:rsid w:val="009A1933"/>
    <w:rsid w:val="009B4D77"/>
    <w:rsid w:val="00B3011F"/>
    <w:rsid w:val="00CD46A4"/>
    <w:rsid w:val="00DE2966"/>
    <w:rsid w:val="00E745A4"/>
    <w:rsid w:val="00FE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2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2024-08-04T16:46:00Z</dcterms:created>
  <dcterms:modified xsi:type="dcterms:W3CDTF">2024-10-28T05:42:00Z</dcterms:modified>
</cp:coreProperties>
</file>